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d17003aaf846a2" /></Relationships>
</file>

<file path=word/document.xml><?xml version="1.0" encoding="utf-8"?>
<w:document xmlns:w="http://schemas.openxmlformats.org/wordprocessingml/2006/main">
  <w:body>
    <w:tbl>
      <w:tblPr>
        <w:tblW w:w="9000" w:type="dxa"/>
        <w:tblBorders>
          <w:top w:val="nil"/>
          <w:bottom w:val="nil"/>
          <w:left w:val="nil"/>
          <w:right w:val="nil"/>
          <w:insideH w:val="nil"/>
          <w:insideV w:val="nil"/>
        </w:tblBorders>
        <w:tblCellSpacing w:w="60" w:type="dxa"/>
        <w:shd w:val="clear" w:color="auto" w:fill="E7F0F9"/>
      </w:tblPr>
      <w:tblGrid>
        <w:gridCol w:w="1200"/>
        <w:gridCol w:w="4500"/>
      </w:tblGrid>
      <w:tr>
        <w:tc>
          <w:tcPr>
            <w:tcW w:w="1200" w:type="pct"/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rPr>
                <w:b/>
              </w:rPr>
              <w:t xml:space="preserve">RKP broj</w:t>
            </w:r>
          </w:p>
        </w:tc>
        <w:tc>
          <w:tcPr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t xml:space="preserve">35003</w:t>
            </w:r>
          </w:p>
        </w:tc>
      </w:tr>
      <w:tr>
        <w:tc>
          <w:tcPr>
            <w:tcW w:w="1200" w:type="pct"/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rPr>
                <w:b/>
              </w:rPr>
              <w:t xml:space="preserve">Naziv obveznika</w:t>
            </w:r>
          </w:p>
        </w:tc>
        <w:tc>
          <w:tcPr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t xml:space="preserve">OPĆINA POLIČNIK</w:t>
            </w:r>
          </w:p>
        </w:tc>
      </w:tr>
      <w:tr>
        <w:tc>
          <w:tcPr>
            <w:tcW w:w="1200" w:type="pct"/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rPr>
                <w:b/>
              </w:rPr>
              <w:t xml:space="preserve">Razina</w:t>
            </w:r>
          </w:p>
        </w:tc>
        <w:tc>
          <w:tcPr>
            <w:shd w:val="clear" w:color="auto" w:fill="E7F0F9"/>
          </w:tcPr>
          <w:p>
            <w:pPr>
              <w:spacing w:before="0" w:after="0" w:line="240" w:lineRule="auto"/>
              <w:jc w:val="left"/>
            </w:pPr>
            <w:r>
              <w:t xml:space="preserve">23</w:t>
            </w:r>
          </w:p>
        </w:tc>
      </w:tr>
    </w:tbl>
    <w:p>
      <w:r>
        <w:br/>
      </w:r>
    </w:p>
    <w:p>
      <w:pPr>
        <w:jc w:val="center"/>
        <w:pStyle w:val="Normal"/>
        <w:spacing w:line="240" w:lineRule="auto"/>
      </w:pPr>
      <w:r>
        <w:rPr>
          <w:b/>
          <w:sz w:val="28"/>
          <w:rFonts w:ascii="Times New Roman" w:hAnsi="Times New Roman"/>
        </w:rPr>
        <w:t xml:space="preserve">BILJEŠKE UZ FINANCIJSKE IZVJEŠTAJE</w:t>
      </w:r>
    </w:p>
    <w:p>
      <w:pPr>
        <w:jc w:val="center"/>
        <w:pStyle w:val="Normal"/>
        <w:spacing w:line="240" w:lineRule="auto"/>
      </w:pPr>
      <w:r>
        <w:rPr>
          <w:b/>
          <w:sz w:val="28"/>
          <w:rFonts w:ascii="Times New Roman" w:hAnsi="Times New Roman"/>
        </w:rPr>
        <w:t xml:space="preserve">ZA RAZDOBLJE</w:t>
      </w:r>
    </w:p>
    <w:p>
      <w:pPr>
        <w:jc w:val="center"/>
        <w:pStyle w:val="Normal"/>
        <w:spacing w:line="240" w:lineRule="auto"/>
      </w:pPr>
      <w:r>
        <w:rPr>
          <w:b/>
          <w:sz w:val="28"/>
          <w:rFonts w:ascii="Times New Roman" w:hAnsi="Times New Roman"/>
        </w:rPr>
        <w:t xml:space="preserve">I - XII 2025.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Izvještaj o prihodima i rashodima, primicima i izdacima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0" w:type="auto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POSLOVANJA (šifre 61+62+63+64+65+66+67+68)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5.735.765,70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5.615.682,47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97,9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RASHODI POSLOVANJA (šifre 31+32+34+35+36+37+38)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3.426.885,29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4.596.933,27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134,1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VIŠAK PRIHODA POSLOVANJA (šifre 6-Z005)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X001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2.308.880,41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1.018.749,20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44,1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od prodaje nefinancijske imovine (šifre 71+72+73+74)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303.248,94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1.705.591,52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562,4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Rashodi za nabavu nefinancijske imovine (šifre 41+42+43+44+45)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3.422.773,45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1.888.332,11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55,2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MANJAK PRIHODA OD NEFINANCIJSKE IMOVINE (šifre 4-7)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Y002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3.119.524,51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182.740,59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5,9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Primici od financijske imovine i zaduživanja (šifre 81+82+83+84+85)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796.336,85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499.569,09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62,7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Izdaci za financijsku imovinu i otplate zajmova (šifre 51+52+53+54+55)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106.436,88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265.704,24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249,6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VIŠAK PRIMITAKA OD FINANCIJSKE IMOVINE I ZADUŽIVANJA (šifre 8-5)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X003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689.899,97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233.864,85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33,9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VIŠAK PRIHODA I PRIMITAKA (šifre X678-Y345)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X005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1.069.873,46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Ukupni prihodi poslovanja Općine Poličnik i 2 proračunska korisnika Dječji vrtić Zvončić i Centar za razvoj i edukaciju Poličnik u periodu 01.01.-31.12.2025. godine iznose 5.615.682,47 EUR odnosno 2,1% manje u odnosu na isto razdoblje 2024. godine. Ukupni rashodi poslovanja Općine Poličnik i 2 proračunska korisnika Dječji vrtić Zvončić i Centar za razvoj i edukaciju Poličnik u periodu 01.01.-31.12.2025. godine iznose 4.596.933,27 EUR odnosno 34,1% više u odnosu na isto razdoblje 2024. godine, povećanje rashoda poslovanja uzrokovalo je formiranje Zajedničkog upravnog odjela za komunalno redarstvo (dodatni odjel Općine Poličnik) i povećanjem općih troškova poslovanja Dječjeg vrtića Zvončić i Centar za razvoj i edukaciju Poličnik. Višak prihoda poslovanja u periodu 01.01.-31.12.2025. godine iznosi 1.018.749,20 EUR. Ukupni prihodi od prodaje nefinancijske imovine u periodu 01.01.-31.12.2025. godine iznose 1.705.591,52 EUR odnosno 462,40% zbog toga što je Općina Poličnik provela natječaj za prodaju neizgrađenog građevinskog zemljišta u Poslovnoj zoni Murvica Jug. Ukupni rashodi za nabavu nefinancijske imovine u periodu 01.01.-31.12.2025. godine iznose 1.888.332,11 EUR odnosno 44,80% manje u odnosu na isti period 2024. godine iz razloga što je u razredu 4 bilo manje realiziranih projekata u odnosu na planirane - problemi sa javnom nabavom na projektima. Manjak prihoda od nefinancijske imovine u periodu 01.01.-31.12.2025. godine iznosi 182.740,59 EUR. Ukupni primici od financijske imovine i zaduživanja u periodu 01.01.-31.12.2025. godine iznosi 499.569,09 EUR i odnose se na dugoročni kredit za izgradnju komunalne infrastrukture Poslovne zone Mazija JI. Ukupni izdaci za financijsku imovinu i otplate zajmova u periodu 01.01.-31.12.2025. godine iznose 265.704,24 EUR odnosno 149,60% više u odnosu na isto razdoblje 2024. godine zbog početka povrata dugoročnog kredita za izgradnju Stambene zone Grabi. Ukupan višak od financijske imovine i zaduživanja u periodu 01.01.-31.12.2025. godine iznose 233.864,85 EUR, a ukupan višak prihoda i primitaka u periodu 01.01.-31.12.2025. godine iznosi 1.069.873,46 EUR.</w:t>
      </w:r>
    </w:p>
    <w:p>
      <w:r>
        <w:br/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Porez na dohodak od nesamostalnog rada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1.739.072,64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2.231.577,46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128,3</w:t>
            </w:r>
          </w:p>
        </w:tc>
      </w:tr>
    </w:tbl>
    <w:p>
      <w:pPr>
        <w:spacing w:before="0" w:after="0"/>
      </w:pPr>
    </w:p>
    <w:p>
      <w:r>
        <w:t xml:space="preserve">Prihodi od poreza na dohodak od nesamostalnog rada povećali su se u odnosu na isti period 2024. godine za 28,30 % zbog stalnog trenda povećanja broja zaposlenih sa područja Općine Poličnik i rasta plaća u privatnom i javnom sektoru.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Porezi na imovinu (šifre 6131 do 6135)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230.965,77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442.602,47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191,6</w:t>
            </w:r>
          </w:p>
        </w:tc>
      </w:tr>
    </w:tbl>
    <w:p>
      <w:pPr>
        <w:spacing w:before="0" w:after="0"/>
      </w:pPr>
    </w:p>
    <w:p>
      <w:r>
        <w:t xml:space="preserve">Porezi na imovinu su povećani u odnosu na 2024. godinu za 91,60% zbog značajnog povećanja obujma prometa nekretninama na području Općine Poličnik.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Porezi na robu i usluge (šifre 6141 do 61476148)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614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7.587,31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9.701,35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127,9</w:t>
            </w:r>
          </w:p>
        </w:tc>
      </w:tr>
    </w:tbl>
    <w:p>
      <w:pPr>
        <w:spacing w:before="0" w:after="0"/>
      </w:pPr>
    </w:p>
    <w:p>
      <w:r>
        <w:t xml:space="preserve">Porezi na robu i usluge u odnosu na 2024. godinu su veći za 27,90% zbog povećanja prometa ugostiteljskih objekata na području Općine Poličnik.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Pomoći proračunu i izvanproračunskim korisnicima iz drugih proračuna (šifre 6331+6332)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1.969.739,31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1.278.201,95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64,9</w:t>
            </w:r>
          </w:p>
        </w:tc>
      </w:tr>
    </w:tbl>
    <w:p>
      <w:pPr>
        <w:spacing w:before="0" w:after="0"/>
      </w:pPr>
    </w:p>
    <w:p>
      <w:r>
        <w:t xml:space="preserve">Pomoći proračunu i izvanproračunskim korisnicima iz drugih proračuna u odnosu na 2024. godinu smanjene su za 35,10% iz razloga što su kapitalne pomoći iz Državnog proračuna smanjene za 92,10% i tekuće pomoći temeljem prijenosa EU sredstava nisu realizirane, a u istom razdoblju prošle godine bile su realizirane u iznosu od 62.594,81 EUR. U 2025. godini nije bilo tekućih projekata sufinanciranih iz EU sredstava, a kapitalni projekti su realizirani uglavnom vlastitim sredstvima i dugoročnim kreditom.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od nefinancijske imovine (šifre 6421 do 6429)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134.281,53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119.318,18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88,9</w:t>
            </w:r>
          </w:p>
        </w:tc>
      </w:tr>
    </w:tbl>
    <w:p>
      <w:pPr>
        <w:spacing w:before="0" w:after="0"/>
      </w:pPr>
    </w:p>
    <w:p>
      <w:r>
        <w:t xml:space="preserve">Prihodi od nefinancijske imovine u odnosu na 2024. godinu smanjeni su za 11,10% iz razloga što su ukinute naknade za postavljanje reklama tokom 2025. godine (zbog velikog broja opravdanih žalbi).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651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Upravne i administrativne pristojbe (šifre 6511 do 6514)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651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8.272,67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11.402,74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137,8</w:t>
            </w:r>
          </w:p>
        </w:tc>
      </w:tr>
    </w:tbl>
    <w:p>
      <w:pPr>
        <w:spacing w:before="0" w:after="0"/>
      </w:pPr>
    </w:p>
    <w:p>
      <w:r>
        <w:t xml:space="preserve">Upravne i administrativne pristojbe u odnosu na 2024. godinu povećane su za 37,80% zbog povećanja naknada za legalizaciju u 2025. godini u odnosu na 2024. godinu kad je bila određena stagnacija u postupcima legalizacije.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8.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652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po posebnim propisima (šifre 6521 do 6528)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652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74.274,78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264.602,92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356,2</w:t>
            </w:r>
          </w:p>
        </w:tc>
      </w:tr>
    </w:tbl>
    <w:p>
      <w:pPr>
        <w:spacing w:before="0" w:after="0"/>
      </w:pPr>
    </w:p>
    <w:p>
      <w:r>
        <w:t xml:space="preserve">Prihodi po posebnim propisima u odnosu na 2024. godinu povećani su za 256,20% iz razloga što su se u 2025. godini prihodi od pruženih usluga Dječjeg vrtića knjižili na odjeljak računskog plana 6526, a u istom periodu prethodne godine na odjeljak 6615, zbog čega je došlo do povećanja prihoda u odnosu na isti period 2024. godine.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9.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653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Komunalni doprinosi i naknade (šifre 6531 do 6533)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653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1.346.865,90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1.239.320,81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92,0</w:t>
            </w:r>
          </w:p>
        </w:tc>
      </w:tr>
    </w:tbl>
    <w:p>
      <w:pPr>
        <w:spacing w:before="0" w:after="0"/>
      </w:pPr>
    </w:p>
    <w:p>
      <w:r>
        <w:t xml:space="preserve">Komunalni doprinosi i naknade u odnosu na 2024. godinu smanjeni su za 8,00% kumulativno i to komunalni doprinos je smanjen za 54,9% zbog značajno smanjenog broja izdanih građevinskih dozvola u odosu na 2024. godinu i komunalna naknada je povećana za 15,80% iz razloga što je povećan broj objekata koji su zaduženi za komunalnu naknadu.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10.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od prodaje proizvoda i robe te pruženih usluga, prihodi od donacija te povrati po protestiranim jamstvima (šifre 661+663)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161.165,50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17.901,86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11,1</w:t>
            </w:r>
          </w:p>
        </w:tc>
      </w:tr>
    </w:tbl>
    <w:p>
      <w:pPr>
        <w:spacing w:before="0" w:after="0"/>
      </w:pPr>
    </w:p>
    <w:p>
      <w:r>
        <w:t xml:space="preserve">Prihodi od prodaje proizvoda i robe te pruženih usluga, prihodi od donacija te povrati po protestiranim jamstvima u odnosu na 2024. godinu smanjeni su za 88,90% iz razloga što prihodi od pruženih usluga Dječjeg vrtića knjižili su se na odjeljak računskog plana 6526, a u istom periodu prethodne godine na odjeljak 6615, zbog čega je došlo do smanjenja prihoda u odnosu na isti period 2024. godine.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Plaće (bruto) (šifre 3111 do 3114)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873.927,81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1.303.909,55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149,2</w:t>
            </w:r>
          </w:p>
        </w:tc>
      </w:tr>
    </w:tbl>
    <w:p>
      <w:pPr>
        <w:spacing w:before="0" w:after="0"/>
      </w:pPr>
    </w:p>
    <w:p>
      <w:r>
        <w:t xml:space="preserve">Plaće (bruto) u odnosu na 2024. godinu povećani su za 49,20% zbog značajnog povećanja broja zaposlenih, koeficijenti za obračun plaće djelatnika Općine Poličnik i proračunskih korisnika povećali su se u prosjeku za 20 % u odnosu na prethodnu godinu. 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Plaće za prekovremeni rad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1.222,94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5.925,55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484,5</w:t>
            </w:r>
          </w:p>
        </w:tc>
      </w:tr>
    </w:tbl>
    <w:p>
      <w:pPr>
        <w:spacing w:before="0" w:after="0"/>
      </w:pPr>
    </w:p>
    <w:p>
      <w:r>
        <w:t xml:space="preserve">Plaće za prekovremeni rad u odnosu na 2024. godinu povećani su za 384,50% zbog potrebe odrađivanja prekovremenih sati u popodnevnim satima za djelatnike Zajedničkog upravnog odjela za komunalno redarstvo koji su odrađivali komunalne poslove za vrijeme turističke sezone.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Doprinosi na plaće (šifre 3131 do 3133)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139.084,33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208.704,23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150,1</w:t>
            </w:r>
          </w:p>
        </w:tc>
      </w:tr>
    </w:tbl>
    <w:p>
      <w:pPr>
        <w:spacing w:before="0" w:after="0"/>
      </w:pPr>
    </w:p>
    <w:p>
      <w:r>
        <w:t xml:space="preserve">Doprinosi na plaće u odnosu na 2024. godinu povećani su za 50,10% zbog značajnog povećanja broja zaposlenih, koeficijenti za obračun plaće djelatnika Općine Poličnik i proračunskih korisnika povećali su se u prosjeku za 20,00% u odnosu na prethodnu godinu. 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3132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Doprinosi za obvezno zdravstveno osiguranje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3132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139.084,33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208.704,23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150,1</w:t>
            </w:r>
          </w:p>
        </w:tc>
      </w:tr>
    </w:tbl>
    <w:p>
      <w:pPr>
        <w:spacing w:before="0" w:after="0"/>
      </w:pPr>
    </w:p>
    <w:p>
      <w:r>
        <w:t xml:space="preserve">Doprinosi za obvezno zdravstveno osiguranje u odnosu na 2024. godinu povećani su za 50,10% zbog značajnog povećanja broja zaposlenih, koeficijenti za obračun plaće djelatnika Općine Poličnik i proračunskih korisnika povećali su se u prosjeku za 20 % u odnosu na prethodnu godinu. 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Službena putovanja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3.602,88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8.210,84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227,9</w:t>
            </w:r>
          </w:p>
        </w:tc>
      </w:tr>
    </w:tbl>
    <w:p>
      <w:pPr>
        <w:spacing w:before="0" w:after="0"/>
      </w:pPr>
    </w:p>
    <w:p>
      <w:r>
        <w:t xml:space="preserve">Službena putovanja u odnosu na 2024. godinu povećani su za 127,90% zbog značajnog povećanja broja zaposlenih i poslovnih potreba djelatnika Općine Poličnik. 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3212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Naknade za prijevoz, za rad na terenu i odvojeni život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3212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47.094,69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56.409,90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119,8</w:t>
            </w:r>
          </w:p>
        </w:tc>
      </w:tr>
    </w:tbl>
    <w:p>
      <w:pPr>
        <w:spacing w:before="0" w:after="0"/>
      </w:pPr>
    </w:p>
    <w:p>
      <w:r>
        <w:t xml:space="preserve">Naknada za prijevoz, za rad na terenu i odvojeni život u odnosu na 2024. godinu povećani su za 19,80% zbog značajnog povećanja broja zaposlenih Općine Poličnik.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Stručno usavršavanje zaposlenika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3213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4.977,18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11.513,21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231,3</w:t>
            </w:r>
          </w:p>
        </w:tc>
      </w:tr>
    </w:tbl>
    <w:p>
      <w:pPr>
        <w:spacing w:before="0" w:after="0"/>
      </w:pPr>
    </w:p>
    <w:p>
      <w:r>
        <w:t xml:space="preserve">Stručno usavršavanje zaposlenika u odnosu na 2024. godinu povećani su za 131,30% zbog značajnog povećanja broja zaposlenih i potrebe za obukom djelatnika Zajedničkog upravnog odjela za komunalno redarstvo. 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18.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3214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Ostale naknade troškova zaposlenima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3214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44.716,55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67.706,46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151,4</w:t>
            </w:r>
          </w:p>
        </w:tc>
      </w:tr>
    </w:tbl>
    <w:p>
      <w:pPr>
        <w:spacing w:before="0" w:after="0"/>
      </w:pPr>
    </w:p>
    <w:p>
      <w:r>
        <w:t xml:space="preserve">Ostale naknade troškova zaposlenima u odnosu na 2024. godinu povećani su za 51,40% zbog značajnog povećanja broja zaposlenih Općine Poličnik.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19.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Uredski materijal i ostali materijalni rashodi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67.346,38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49.793,68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73,9</w:t>
            </w:r>
          </w:p>
        </w:tc>
      </w:tr>
    </w:tbl>
    <w:p>
      <w:pPr>
        <w:spacing w:before="0" w:after="0"/>
      </w:pPr>
    </w:p>
    <w:p>
      <w:r>
        <w:t xml:space="preserve">Uredski materijal i ostali materijalni rashodi u odnosu na 2024. godinu smanjeni su za 26,10% zbog mjera racionalizacije uredskog materijala poduzetih 2025. godine.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20.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Energija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148.107,17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179.466,41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121,2</w:t>
            </w:r>
          </w:p>
        </w:tc>
      </w:tr>
    </w:tbl>
    <w:p>
      <w:pPr>
        <w:spacing w:before="0" w:after="0"/>
      </w:pPr>
    </w:p>
    <w:p>
      <w:r>
        <w:t xml:space="preserve">Troškovi energije u odnosu na 2024. godinu povećani su za 21,20% zbog povećanog broja društvenih objekata koji su priključeni na električnu energiju (društveni dom Lovinac, društveni dom Dračevac Ninski, nove mreže javne rasvjete po mjestima).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Materijal i dijelovi za tekuće i investicijsko održavanje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12.300,60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24.001,89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195,1</w:t>
            </w:r>
          </w:p>
        </w:tc>
      </w:tr>
    </w:tbl>
    <w:p>
      <w:pPr>
        <w:spacing w:before="0" w:after="0"/>
      </w:pPr>
    </w:p>
    <w:p>
      <w:r>
        <w:t xml:space="preserve">Materijal i dijelovi za tekuće i investicijsko održavanje u odnosu na 2024. godinu povećani su za 95,10% zbog povećanja potrebe za održavanje građevinskih objekata u vlasništvu Općine Poličnik.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Sitni inventar i autogume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3225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12.880,82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6.209,92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48,2</w:t>
            </w:r>
          </w:p>
        </w:tc>
      </w:tr>
    </w:tbl>
    <w:p>
      <w:pPr>
        <w:spacing w:before="0" w:after="0"/>
      </w:pPr>
    </w:p>
    <w:p>
      <w:r>
        <w:t xml:space="preserve">Sitni inventar i autogume u odnosu na 2024. godinu smanjeni su za 51,80% zbog racionalizacije i smanjene potrebe za nabavkom sitnog inventara.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Usluge tekućeg i investicijskog održavanja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548.300,74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718.840,66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131,1</w:t>
            </w:r>
          </w:p>
        </w:tc>
      </w:tr>
    </w:tbl>
    <w:p>
      <w:pPr>
        <w:spacing w:before="0" w:after="0"/>
      </w:pPr>
    </w:p>
    <w:p>
      <w:r>
        <w:t xml:space="preserve">Usluge tekućeg i investicijskog održavanja u 2024. godini su povećane za 31,10% zbog povećane potrebe za održavanjem građevinskih objekata u vlasništvu Općine Poličnik.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Usluge promidžbe i informiranja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17.940,75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28.332,68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157,9</w:t>
            </w:r>
          </w:p>
        </w:tc>
      </w:tr>
    </w:tbl>
    <w:p>
      <w:pPr>
        <w:spacing w:before="0" w:after="0"/>
      </w:pPr>
    </w:p>
    <w:p>
      <w:r>
        <w:t xml:space="preserve">Usluge promidžbe i informiranja u odnosu na 2024. godinu povećane su za 57,90% zbog odluke za dodatnom promidžbom Općine Poličnik i povećanog broja javnih natječaja koji se obvezno objavljuju u medijima.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Zdravstvene i veterinarske usluge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7.787,16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2.779,54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35,7</w:t>
            </w:r>
          </w:p>
        </w:tc>
      </w:tr>
    </w:tbl>
    <w:p>
      <w:pPr>
        <w:spacing w:before="0" w:after="0"/>
      </w:pPr>
    </w:p>
    <w:p>
      <w:r>
        <w:t xml:space="preserve">Zdravstvene i veterinarske usluge u odnosu na 2024. godinu smanjene su za 64,30% zbog smanjenog broja zbrinutih životinja od strane veterinara.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Intelektualne i osobne usluge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3237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103.745,04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161.989,54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156,1</w:t>
            </w:r>
          </w:p>
        </w:tc>
      </w:tr>
    </w:tbl>
    <w:p>
      <w:pPr>
        <w:spacing w:before="0" w:after="0"/>
      </w:pPr>
    </w:p>
    <w:p>
      <w:r>
        <w:t xml:space="preserve">Intelektualne i osobne usluge u odnosu na 2024. godinu povećane su za 56,10% zbog povećanja usluga stručnih službi - vještaka za procjenu zemljišta, geodetskih usluga i odvjetničkih usluga.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Ostali nespomenuti rashodi poslovanja (šifre 3291 do 3299)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138.592,56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246.546,35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177,9</w:t>
            </w:r>
          </w:p>
        </w:tc>
      </w:tr>
    </w:tbl>
    <w:p>
      <w:pPr>
        <w:spacing w:before="0" w:after="0"/>
      </w:pPr>
    </w:p>
    <w:p>
      <w:r>
        <w:t xml:space="preserve">Ostali nespomenuti rashodi poslovanja u odnosu na 2024. godinu povećani su za 77,90% iz razloga što su povećane naknade vijećnicima, provedeni su lokalni izbori, održan je Advent u Općini Poličnik, povećani troškovi Božićnog uređenja naselja, povećao se broj svih vrsta manifestacija po mjestima Općine Poličnik. 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28.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3291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Naknade za rad predstavničkih i izvršnih tijela, povjerenstava i slično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3291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7.688,38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30.666,21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398,9</w:t>
            </w:r>
          </w:p>
        </w:tc>
      </w:tr>
    </w:tbl>
    <w:p>
      <w:pPr>
        <w:spacing w:before="0" w:after="0"/>
      </w:pPr>
    </w:p>
    <w:p>
      <w:r>
        <w:t xml:space="preserve">Naknade za rad predstavničkih i izvršnih tijela, povjerenstava i slično u odnosu na 2024. godinu povećani su za 298,90% iz razloga što su povećane naknade vijećnicima Općine Poličnik i povećan broj održanih sjednica Vijeća Općine Poličnik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29.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3292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Premije osiguranja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3292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23.437,35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37.196,72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158,7</w:t>
            </w:r>
          </w:p>
        </w:tc>
      </w:tr>
    </w:tbl>
    <w:p>
      <w:pPr>
        <w:spacing w:before="0" w:after="0"/>
      </w:pPr>
    </w:p>
    <w:p>
      <w:r>
        <w:t xml:space="preserve">Premije osiguranja u odnosu na 2024. godinu povećani su za 58,70% iz razloga što je povećan broj osiguranih građevinskih objekata i službenih automobila.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30.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3299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Ostali nespomenuti rashodi poslovanja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3299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70.121,20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147.726,67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210,7</w:t>
            </w:r>
          </w:p>
        </w:tc>
      </w:tr>
    </w:tbl>
    <w:p>
      <w:pPr>
        <w:spacing w:before="0" w:after="0"/>
      </w:pPr>
    </w:p>
    <w:p>
      <w:r>
        <w:t xml:space="preserve">Ostali nespomenuti rashodi poslovanja u odnosu na 2024. godinu povećani su za 110,70% iz razloga što su provedeni su lokalni izbori, održan je Advent u Općini Poličnik, povećani troškovi Božićnog uređenja naselja, povećao se broj svih vrsta manifestacija po mjestima Općine Poličnik. 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Kamate za primljene kredite i zajmove (šifre 3421 do 3428)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342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9.908,84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14.275,73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144,1</w:t>
            </w:r>
          </w:p>
        </w:tc>
      </w:tr>
    </w:tbl>
    <w:p>
      <w:pPr>
        <w:spacing w:before="0" w:after="0"/>
      </w:pPr>
    </w:p>
    <w:p>
      <w:r>
        <w:t xml:space="preserve">Kamate za primljene kredite i zajmove u odnosu na 2024. godinu povećani su za 44,10% iz razloga što je počela otplata dugoročnog kredita za izgradnju komunalne infrastrukture Stambene zone Grabi u Poličniku.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351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Subvencije kreditnim i ostalim financijskim institucijama i trgovačkim društvima u javnom sektoru (šifre 3511+3512)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351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77.000,00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31.437,31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40,8</w:t>
            </w:r>
          </w:p>
        </w:tc>
      </w:tr>
    </w:tbl>
    <w:p>
      <w:pPr>
        <w:spacing w:before="0" w:after="0"/>
      </w:pPr>
    </w:p>
    <w:p>
      <w:r>
        <w:t xml:space="preserve">Subvencije kreditnim i ostalim financijskim institucijama i trgovačkim društvima u javnom sektoru u odnosu na 2024. godinu smanjeni su za 59,20% iz razloga što je komunalna firma Odvodnja Poličnik d.o.o. prešla pod upravljanje Vodovod d.o.o. Zadar. 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33.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372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Ostale naknade građanima i kućanstvima iz proračuna (šifre 3721 do 3723) 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372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206.474,84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281.611,18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136,4</w:t>
            </w:r>
          </w:p>
        </w:tc>
      </w:tr>
    </w:tbl>
    <w:p>
      <w:pPr>
        <w:spacing w:before="0" w:after="0"/>
      </w:pPr>
    </w:p>
    <w:p>
      <w:r>
        <w:t xml:space="preserve">Ostale naknade građanima i kućanstvima u novcu u odnosu na 2024. godinu povećane su za 36,40% iz razloga što su se značajno povećali iznosi davanja socijalnim kategorijama stanovništva (jednokratne novčane pomoći, prehrana socijalno ugroženih osoba i sl.)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34.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383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Kazne, penali i naknade štete (šifre 3831 do 3835)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383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241.191,67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342.025,56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141,8</w:t>
            </w:r>
          </w:p>
        </w:tc>
      </w:tr>
    </w:tbl>
    <w:p>
      <w:pPr>
        <w:spacing w:before="0" w:after="0"/>
      </w:pPr>
    </w:p>
    <w:p>
      <w:r>
        <w:t xml:space="preserve">Kazne, penali i naknade štete u odnosu na 2024. godinu povećani su za 41,80% iz razloga što je započela isplata izgubljenog sudskog spora sa Dušanom Opačićem i dr.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35.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Prihodi od prodaje materijalne imovine - prirodnih bogatstava (šifre 7111 do 7113)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711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303.248,94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1.705.591,52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562,4</w:t>
            </w:r>
          </w:p>
        </w:tc>
      </w:tr>
    </w:tbl>
    <w:p>
      <w:pPr>
        <w:spacing w:before="0" w:after="0"/>
      </w:pPr>
    </w:p>
    <w:p>
      <w:r>
        <w:t xml:space="preserve">Prihodi od prodaje materijalne imovine-prirodnih bogatstava u odnosu na 2024. godinu povećani su za 462,40% iz razloga što su prodane parcele neizgrađenog građevinskog zemljšta u Poslovnoj zoni Murvica Jug.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36.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Građevinski objekti (šifre 4211 do 4214)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3.131.885,27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1.576.490,54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50,3</w:t>
            </w:r>
          </w:p>
        </w:tc>
      </w:tr>
    </w:tbl>
    <w:p>
      <w:pPr>
        <w:spacing w:before="0" w:after="0"/>
      </w:pPr>
    </w:p>
    <w:p>
      <w:r>
        <w:t xml:space="preserve">Građevinski objekti u odnosu na 2024. godinu smanjeni su za 49,70% iz razloga što nismo uspjeli provesti sve planirane postupke javne nabave - izgradnja dvorane za boćanje u Ruplju, rekonstrukcija sportskog kompleksa NK Dragovoljac Poličnik, izgradnja dvorane Osnovne škole Murvica-Briševo.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37.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4221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Uredska oprema i namještaj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4221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11.874,50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3.592,25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30,3</w:t>
            </w:r>
          </w:p>
        </w:tc>
      </w:tr>
    </w:tbl>
    <w:p>
      <w:pPr>
        <w:spacing w:before="0" w:after="0"/>
      </w:pPr>
    </w:p>
    <w:p>
      <w:r>
        <w:t xml:space="preserve">Uredska oprema i namještaj u odnosu na 2024. godinu smanjena je za 69,70% iz razloga što je 2024. godine nabavljena uredska oprema i namještaj za Zajednički upravni odjel za komunalno redarstvo.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38.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425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Višegodišnji nasadi i osnovno stado (šifre 4251+4252)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425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37.975,00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24.261,44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63,9</w:t>
            </w:r>
          </w:p>
        </w:tc>
      </w:tr>
    </w:tbl>
    <w:p>
      <w:pPr>
        <w:spacing w:before="0" w:after="0"/>
      </w:pPr>
    </w:p>
    <w:p>
      <w:r>
        <w:t xml:space="preserve">Višegodišnji nasadi i osnovno stado u odnosu na 2024. godinu smanjeni su za 36,10% iz razloga što je 2024. godine odrađena priprema terena za sadnju maslina u Poslovnoj zoni Grabi.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39.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844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Primljeni krediti i zajmovi od kreditnih i ostalih financijskih institucija izvan javnog sektora (šifre 8443 do 8448)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844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796.336,85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499.569,09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62,7</w:t>
            </w:r>
          </w:p>
        </w:tc>
      </w:tr>
    </w:tbl>
    <w:p>
      <w:pPr>
        <w:spacing w:before="0" w:after="0"/>
      </w:pPr>
    </w:p>
    <w:p>
      <w:r>
        <w:t xml:space="preserve">Primljeni krediti i zajmovi od kreditnih i ostalih financijskih institucija izvan javnog sektora u odnosu na 2024. godinu smanjeni su za 37,30% iz razloga što je u 2025. godini primljen dugoročni kredit za izgradnju komunalne infrastrukture Poslovne zone Mazija JI koji je bio manji nego dugoročni kredit za izgradnju Stambene zone Grabi koji je realiziran 2024. godine.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40.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Izdaci za otplatu glavnice primljenih kredita i zajmova (šifre 541+542+543+544+545+547)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106.436,88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265.704,24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249,6</w:t>
            </w:r>
          </w:p>
        </w:tc>
      </w:tr>
    </w:tbl>
    <w:p>
      <w:pPr>
        <w:spacing w:before="0" w:after="0"/>
      </w:pPr>
    </w:p>
    <w:p>
      <w:r>
        <w:t xml:space="preserve">Izdaci za otplatu glavnice primljenih kredita i zajmova u odnosu na 2024. godinu povećani su za 149,60% iz razloga što je 01.01.2025. godine počela otplata dugoročnog kredita Erste&amp;Steiermaerkische bank d.d. za izgradnju komunalne infrastrukture Stambene zone Grabi.</w:t>
      </w:r>
      <w:r>
        <w:br/>
      </w:r>
      <w:r>
        <w:t xml:space="preserve"> 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41.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prethodne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Ostvareno u izvještajnom razdoblju tekuće godine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544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Otplata glavnice primljenih kredita i zajmova od kreditnih i ostalih financijskih institucija izvan javnog sektora (šifre 5443 do 5448)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544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106.436,88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265.704,24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249,6</w:t>
            </w:r>
          </w:p>
        </w:tc>
      </w:tr>
    </w:tbl>
    <w:p>
      <w:pPr>
        <w:spacing w:before="0" w:after="0"/>
      </w:pPr>
    </w:p>
    <w:p>
      <w:r>
        <w:t xml:space="preserve">Otplata glavnice primljenih kredita i zajmova od kreditnih i ostalih financijskih institucija izvan javnog sektora u odnosu na 2024. godinu povećana je za 149,60% iz razloga što je 01.01.2025. godine počela otplata dugoročnog kredita Erste&amp;Steiermaerkische bank d.d. za izgradnju komunalne infrastrukture Stambene zone Grabi.</w:t>
      </w:r>
      <w:r>
        <w:br/>
      </w:r>
      <w:r>
        <w:t xml:space="preserve"> </w:t>
      </w:r>
    </w:p>
    <w:p/>
    <w:p>
      <w:pPr>
        <w:jc w:val="center"/>
        <w:pStyle w:val="Normal"/>
        <w:spacing w:line="240" w:lineRule="auto"/>
        <w:keepNext/>
      </w:pPr>
      <w:r>
        <w:rPr>
          <w:b/>
          <w:sz w:val="28"/>
          <w:rFonts w:ascii="Times New Roman" w:hAnsi="Times New Roman"/>
        </w:rPr>
        <w:t xml:space="preserve">Izvještaj o obvezama</w:t>
      </w:r>
    </w:p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42.</w:t>
      </w:r>
    </w:p>
    <w:tbl>
      <w:tblPr>
        <w:tblBorders>
          <w:top w:val="single" w:color="BABABA" w:sz="12"/>
          <w:bottom w:val="single" w:color="BABABA" w:sz="12"/>
          <w:left w:val="single" w:color="BABABA" w:sz="12"/>
          <w:right w:val="single" w:color="BABABA" w:sz="12"/>
          <w:insideH w:val="single" w:color="BABABA" w:sz="8"/>
          <w:insideV w:val="single" w:color="DADADA" w:sz="8"/>
        </w:tblBorders>
        <w:tblW w:w="9000" w:type="dxa"/>
        <w:tblLayout w:type="fixed"/>
        <w:tblCellMar>
          <w:left w:w="40" w:type="dxa"/>
          <w:right w:w="40" w:type="dxa"/>
        </w:tblCellMar>
      </w:tblPr>
      <w:tblGrid>
        <w:gridCol w:w="700"/>
        <w:gridCol w:w="3180"/>
        <w:gridCol w:w="700"/>
        <w:gridCol w:w="1860"/>
        <w:gridCol w:w="700"/>
      </w:tblGrid>
      <w:tr>
        <w:trPr>
          <w:cantSplit/>
        </w:trPr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Račun iz rač. plana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Opis stavke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Šifra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Iznos</w:t>
            </w:r>
          </w:p>
        </w:tc>
        <w:tc>
          <w:tcPr>
            <w:shd w:val="clear" w:color="auto" w:fill="E7F0F9"/>
            <w:tcMar>
              <w:top w:w="0" w:type="dxa"/>
              <w:bottom w:w="0" w:type="dxa"/>
            </w:tcMar>
            <w:vAlign w:val="center"/>
          </w:tcPr>
          <w:p>
            <w:pPr>
              <w:jc w:val="center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  <w:b/>
              </w:rPr>
              <w:t>Indeks (%)</w:t>
            </w:r>
          </w:p>
        </w:tc>
      </w:tr>
      <w:tr>
        <w:trPr>
          <w:trHeight w:val="560" w:hRule="atLeast"/>
          <w:cantSplit/>
        </w:trPr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/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Stanje dospjelih obveza na kraju izvještajnog razdoblja (šifre V008+D23+D24 + 'D dio 25,26' + D27)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lef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V007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576.810,94</w:t>
            </w:r>
          </w:p>
        </w:tc>
        <w:tc>
          <w:tcPr>
            <w:tcMar>
              <w:top w:w="0" w:type="dxa"/>
              <w:bottom w:w="0" w:type="dxa"/>
            </w:tcMar>
            <w:vAlign w:val="center"/>
          </w:tcPr>
          <w:p>
            <w:pPr>
              <w:jc w:val="right"/>
              <w:pStyle w:val="Normal"/>
              <w:spacing w:before="0" w:after="0" w:line="240" w:lineRule="auto"/>
              <w:keepNext/>
              <w:keepLines/>
            </w:pPr>
            <w:r>
              <w:rPr>
                <w:sz w:val="18"/>
                <w:rFonts w:ascii="Times New Roman" w:hAnsi="Times New Roman"/>
              </w:rPr>
              <w:t>-</w:t>
            </w:r>
          </w:p>
        </w:tc>
      </w:tr>
    </w:tbl>
    <w:p>
      <w:pPr>
        <w:spacing w:before="0" w:after="0"/>
      </w:pPr>
    </w:p>
    <w:p>
      <w:r>
        <w:t xml:space="preserve">Stanje dospjelih obveza na kraju izvještajnog razdoblja iznose 576.810,94 EUR, a sastoje se od obveza za rashode poslovanja - skupina 23 u iznosu od 406.366,26 EUR, obveze za nabavu nefinancijske imovine - skupina 24 u iznosu od 168.278,19 EUR i obveze za predujmove, depozite, jamčevne pologe i tuđe prihode - skupina 27 u iznosu od 2.166,49 EUR.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43.</w:t>
      </w:r>
    </w:p>
    <w:p>
      <w:pPr>
        <w:jc w:val="both"/>
        <w:pStyle w:val="Normal"/>
        <w:spacing w:line="240" w:lineRule="auto"/>
      </w:pPr>
      <w:r>
        <w:rPr>
          <w:b/>
          <w:sz w:val="24"/>
          <w:rFonts w:ascii="Times New Roman" w:hAnsi="Times New Roman"/>
        </w:rPr>
        <w:t xml:space="preserve">Unutargrupne transakcije koje su u izvještajima eliminirane</w:t>
      </w:r>
    </w:p>
    <w:p>
      <w:r>
        <w:t xml:space="preserve">Prihodi iz Proračuna Općine Poličnik za financiranje rashoda poslovanja Dječjeg vrtića Zvončić u periodu 01.01.-31.12.2025. godine iznosili su 794.060,24 EUR, a prihodi iz Proračuna Općine Poličnik za financiranje rashoda poslovanja Centra za razvoj i edukaciju Poličnik u periodu 01.01.-31.12.2025. godine iznosili su 42.165,14 EUR, odnosno ukupno 836.225,38 EUR transakcija koje su eliminirane u konsolidiranom financijskom izvještaju za period 01.01.-31.12.2025. godine.</w:t>
      </w:r>
    </w:p>
    <w:p/>
    <w:p>
      <w:pPr>
        <w:jc w:val="center"/>
        <w:pStyle w:val="Normal"/>
        <w:spacing w:line="240" w:lineRule="auto"/>
        <w:keepNext/>
      </w:pPr>
      <w:r>
        <w:rPr>
          <w:sz w:val="28"/>
          <w:rFonts w:ascii="Times New Roman" w:hAnsi="Times New Roman"/>
        </w:rPr>
        <w:t xml:space="preserve">Bilješka 44.</w:t>
      </w:r>
    </w:p>
    <w:p>
      <w:pPr>
        <w:jc w:val="both"/>
        <w:pStyle w:val="Normal"/>
        <w:spacing w:line="240" w:lineRule="auto"/>
      </w:pPr>
      <w:r>
        <w:rPr>
          <w:b/>
          <w:sz w:val="24"/>
          <w:rFonts w:ascii="Times New Roman" w:hAnsi="Times New Roman"/>
        </w:rPr>
        <w:t xml:space="preserve">Manjak ili višak u poslovanju grupe i pregled strukture manjka/viška po proračunskim korisnicima </w:t>
      </w:r>
    </w:p>
    <w:p>
      <w:r>
        <w:t xml:space="preserve">Višak prihoda poslovanja u konsolidiranom izvještaju za period 01.01.-31.12.2025. godine iznosi 1.018.749,20 EUR,  manjak prihoda poslovanja Dječjeg vrtića Zvončić iznosi 26.009,94 EUR, manjak prihoda poslovanja Centra za razvoj i edukaciju Poličnik iznosi 3.368,94 EUR. Manjak prihoda prihoda od nefinancijske imovine u konsolidiranom izvještaju za period 01.01.-31.12.2025. godine iznosi 177.569,25 EUR, manjak prihoda od nefinancijske imovine Dječjeg vrtića Zvončić iznosi 2.562,30 EUR, manjak prihoda od nefinancijske imovine Centra za razvoj i edukaciju Poličnik iznosi 2.609,04 EUR. Višak primitaka od financijske imovine i zaduživanja u konsolidiranom izvještaju za period 01.01.-31.12.2025. godine iznosi 233.864,85 EUR i odnosi se na otplatu glavnice dugoročnih kredita Općine Poličnik - za izgradnju zgrade Dječjeg vrtića Murvica-Briševo i izgradnju komunalne infrastrukture Stambene zone Grabi i primitak za dugoročni kredit za izgradnju komunalne infrastrukture Poslovne zone Mazija JI.  Višak prihoda i primitaka u konsolidiranom izvještaju za period 01.01.-31.12.2025. godine iznosi 1.069.873,46 EUR, manjak prihoda i primitaka Dječjeg vrtića Zvončić iznosi 28.572,24 EUR, manjak prihoda i primitaka Centra za razvoj i edukaciju Poličnik iznosi 5.977,98 EUR.</w:t>
      </w:r>
    </w:p>
    <w:p/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4"/>
      </w:rPr>
    </w:rPrDefault>
  </w:docDefaults>
  <w:style w:type="paragraph" w:styleId="Normal" w:default="true">
    <w:name w:val="Normal"/>
    <w:rPr>
      <w:rFonts w:ascii="Times New Roman" w:hAnsi="Times New Roman"/>
      <w:sz w:val="24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b7f8028c164fe2" /></Relationships>
</file>